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49" w:rsidRDefault="00553349" w:rsidP="004B5F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Verdana" w:hAnsi="Verdana" w:cs="Verdana"/>
          <w:sz w:val="18"/>
          <w:szCs w:val="18"/>
          <w:lang w:eastAsia="uk-UA"/>
        </w:rPr>
        <w:tab/>
      </w:r>
      <w:r w:rsidRPr="004B5F6F">
        <w:rPr>
          <w:rFonts w:ascii="Times New Roman" w:hAnsi="Times New Roman" w:cs="Times New Roman"/>
          <w:sz w:val="18"/>
          <w:szCs w:val="18"/>
          <w:lang w:eastAsia="uk-UA"/>
        </w:rPr>
        <w:t xml:space="preserve">               </w:t>
      </w:r>
      <w:bookmarkStart w:id="0" w:name="_GoBack"/>
      <w:bookmarkEnd w:id="0"/>
      <w:r w:rsidRPr="004B5F6F">
        <w:rPr>
          <w:rFonts w:ascii="Times New Roman" w:hAnsi="Times New Roman" w:cs="Times New Roman"/>
          <w:b/>
          <w:bCs/>
          <w:sz w:val="36"/>
          <w:szCs w:val="36"/>
          <w:lang w:eastAsia="uk-UA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lang w:eastAsia="uk-UA"/>
        </w:rPr>
        <w:t xml:space="preserve">                        </w:t>
      </w:r>
      <w:r w:rsidRPr="004B5F6F">
        <w:rPr>
          <w:rFonts w:ascii="Times New Roman" w:hAnsi="Times New Roman" w:cs="Times New Roman"/>
          <w:b/>
          <w:bCs/>
          <w:sz w:val="36"/>
          <w:szCs w:val="36"/>
          <w:lang w:eastAsia="uk-UA"/>
        </w:rPr>
        <w:t xml:space="preserve">  </w:t>
      </w:r>
      <w:r w:rsidRPr="004B5F6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Додаток</w:t>
      </w:r>
    </w:p>
    <w:p w:rsidR="00553349" w:rsidRPr="004B5F6F" w:rsidRDefault="00553349" w:rsidP="004B5F6F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                                   до рішення районної ради </w:t>
      </w:r>
    </w:p>
    <w:p w:rsidR="00553349" w:rsidRPr="004B5F6F" w:rsidRDefault="00553349" w:rsidP="004B5F6F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Verdana" w:hAnsi="Verdana" w:cs="Verdana"/>
          <w:sz w:val="18"/>
          <w:szCs w:val="18"/>
          <w:lang w:eastAsia="uk-UA"/>
        </w:rPr>
        <w:tab/>
      </w:r>
      <w:r w:rsidRPr="004B5F6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 лютого 2016р.</w:t>
      </w:r>
    </w:p>
    <w:p w:rsidR="00553349" w:rsidRPr="001C4B7C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sz w:val="18"/>
          <w:szCs w:val="18"/>
          <w:lang w:eastAsia="uk-UA"/>
        </w:rPr>
        <w:t> </w:t>
      </w:r>
    </w:p>
    <w:p w:rsidR="00553349" w:rsidRPr="00C55514" w:rsidRDefault="00553349" w:rsidP="001C4B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uk-UA"/>
        </w:rPr>
      </w:pPr>
      <w:r w:rsidRPr="00C5551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РАЙОННА</w:t>
      </w:r>
      <w:r w:rsidRPr="00C55514">
        <w:rPr>
          <w:rFonts w:ascii="Times New Roman" w:hAnsi="Times New Roman" w:cs="Times New Roman"/>
          <w:sz w:val="18"/>
          <w:szCs w:val="18"/>
          <w:lang w:eastAsia="uk-UA"/>
        </w:rPr>
        <w:t> </w:t>
      </w:r>
      <w:r w:rsidRPr="00C55514">
        <w:rPr>
          <w:rFonts w:ascii="Times New Roman" w:hAnsi="Times New Roman" w:cs="Times New Roman"/>
          <w:b/>
          <w:bCs/>
          <w:sz w:val="18"/>
          <w:szCs w:val="18"/>
          <w:lang w:eastAsia="uk-UA"/>
        </w:rPr>
        <w:t> </w:t>
      </w:r>
      <w:r w:rsidRPr="00C5551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ПРОГРАМА</w:t>
      </w:r>
    </w:p>
    <w:p w:rsidR="00553349" w:rsidRPr="00C55514" w:rsidRDefault="00553349" w:rsidP="001C4B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uk-UA"/>
        </w:rPr>
      </w:pPr>
      <w:r w:rsidRPr="00C55514">
        <w:rPr>
          <w:rFonts w:ascii="Times New Roman" w:hAnsi="Times New Roman" w:cs="Times New Roman"/>
          <w:b/>
          <w:bCs/>
          <w:spacing w:val="-4"/>
          <w:sz w:val="28"/>
          <w:szCs w:val="28"/>
          <w:lang w:eastAsia="uk-UA"/>
        </w:rPr>
        <w:t> 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eastAsia="uk-UA"/>
        </w:rPr>
        <w:t>забезпечення громадян, які страждають на рідкісні  (орфанні</w:t>
      </w:r>
      <w:r w:rsidRPr="00C55514">
        <w:rPr>
          <w:rFonts w:ascii="Times New Roman" w:hAnsi="Times New Roman" w:cs="Times New Roman"/>
          <w:b/>
          <w:bCs/>
          <w:spacing w:val="-4"/>
          <w:sz w:val="28"/>
          <w:szCs w:val="28"/>
          <w:lang w:eastAsia="uk-UA"/>
        </w:rPr>
        <w:t>)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eastAsia="uk-UA"/>
        </w:rPr>
        <w:t xml:space="preserve"> захворювання лікарськими засобами та відповідними харчовими продуктами для спеціального дієтичного споживання на 2016</w:t>
      </w:r>
      <w:r w:rsidRPr="00C55514">
        <w:rPr>
          <w:rFonts w:ascii="Times New Roman" w:hAnsi="Times New Roman" w:cs="Times New Roman"/>
          <w:b/>
          <w:bCs/>
          <w:spacing w:val="-4"/>
          <w:sz w:val="28"/>
          <w:szCs w:val="28"/>
          <w:lang w:eastAsia="uk-UA"/>
        </w:rPr>
        <w:t>– 2019</w:t>
      </w:r>
      <w:r w:rsidRPr="00C55514">
        <w:rPr>
          <w:rFonts w:ascii="Times New Roman" w:hAnsi="Times New Roman" w:cs="Times New Roman"/>
          <w:b/>
          <w:bCs/>
          <w:sz w:val="18"/>
          <w:szCs w:val="18"/>
          <w:lang w:eastAsia="uk-UA"/>
        </w:rPr>
        <w:t> </w:t>
      </w:r>
      <w:r w:rsidRPr="00C55514">
        <w:rPr>
          <w:rFonts w:ascii="Times New Roman" w:hAnsi="Times New Roman" w:cs="Times New Roman"/>
          <w:b/>
          <w:bCs/>
          <w:spacing w:val="-4"/>
          <w:sz w:val="28"/>
          <w:szCs w:val="28"/>
          <w:lang w:eastAsia="uk-UA"/>
        </w:rPr>
        <w:t>роки</w:t>
      </w:r>
    </w:p>
    <w:p w:rsidR="00553349" w:rsidRPr="00C55514" w:rsidRDefault="00553349" w:rsidP="001C4B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uk-UA"/>
        </w:rPr>
      </w:pPr>
      <w:r w:rsidRPr="00C55514">
        <w:rPr>
          <w:rFonts w:ascii="Times New Roman" w:hAnsi="Times New Roman" w:cs="Times New Roman"/>
          <w:sz w:val="18"/>
          <w:szCs w:val="18"/>
          <w:lang w:eastAsia="uk-UA"/>
        </w:rPr>
        <w:t> </w:t>
      </w:r>
    </w:p>
    <w:p w:rsidR="00553349" w:rsidRPr="00C55514" w:rsidRDefault="00553349" w:rsidP="001C4B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uk-UA"/>
        </w:rPr>
      </w:pPr>
      <w:r w:rsidRPr="00C55514">
        <w:rPr>
          <w:rFonts w:ascii="Times New Roman" w:hAnsi="Times New Roman" w:cs="Times New Roman"/>
          <w:b/>
          <w:bCs/>
          <w:sz w:val="18"/>
          <w:szCs w:val="18"/>
          <w:lang w:eastAsia="uk-UA"/>
        </w:rPr>
        <w:t> </w:t>
      </w:r>
      <w:r w:rsidRPr="00C55514"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  <w:t>1.</w:t>
      </w:r>
      <w:r w:rsidRPr="00C55514">
        <w:rPr>
          <w:rFonts w:ascii="Times New Roman" w:hAnsi="Times New Roman" w:cs="Times New Roman"/>
          <w:sz w:val="18"/>
          <w:szCs w:val="18"/>
          <w:lang w:eastAsia="uk-UA"/>
        </w:rPr>
        <w:t> </w:t>
      </w:r>
      <w:r w:rsidRPr="00C5551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Паспорт програми</w:t>
      </w:r>
    </w:p>
    <w:p w:rsidR="00553349" w:rsidRPr="001C4B7C" w:rsidRDefault="00553349" w:rsidP="001C4B7C">
      <w:pPr>
        <w:spacing w:after="0" w:line="240" w:lineRule="auto"/>
        <w:jc w:val="center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sz w:val="18"/>
          <w:szCs w:val="18"/>
          <w:lang w:eastAsia="uk-UA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23"/>
        <w:gridCol w:w="3453"/>
        <w:gridCol w:w="5543"/>
      </w:tblGrid>
      <w:tr w:rsidR="00553349" w:rsidRPr="007E5C26">
        <w:trPr>
          <w:trHeight w:val="592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caps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Сектор охорони здоров</w:t>
            </w:r>
            <w:r w:rsidRPr="001C4B7C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’</w:t>
            </w: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</w:t>
            </w:r>
          </w:p>
        </w:tc>
      </w:tr>
      <w:tr w:rsidR="00553349" w:rsidRPr="007E5C26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caps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Постанова Кабінету міністрів України від 31 березня 2015 року № 160  «Про затвердження   Порядку забезпечення громадян, які страждають на рідкісні (орфарні) захворювання, лікарськими засобами та відповідними харчовими продуктами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</w:t>
            </w: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ля спеціального дієтичного споживання»,  наказ Міністерства охорони здоров’я України від 27 жовтня 2014 року № 778 «Про затвердження переліку рідкісних (орфарних) захворювань»</w:t>
            </w:r>
          </w:p>
        </w:tc>
      </w:tr>
      <w:tr w:rsidR="00553349" w:rsidRPr="007E5C26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caps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Сектор охорони здоров</w:t>
            </w:r>
            <w:r w:rsidRPr="001C4B7C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’</w:t>
            </w: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 </w:t>
            </w:r>
          </w:p>
        </w:tc>
      </w:tr>
      <w:tr w:rsidR="00553349" w:rsidRPr="007E5C26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caps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Співрозробники програми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КЗ «ЦПМСД Новоград-Волинського району»</w:t>
            </w:r>
          </w:p>
        </w:tc>
      </w:tr>
      <w:tr w:rsidR="00553349" w:rsidRPr="007E5C26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uk-UA"/>
              </w:rPr>
              <w:t>5</w:t>
            </w:r>
            <w:r w:rsidRPr="001C4B7C">
              <w:rPr>
                <w:rFonts w:ascii="Times New Roman" w:hAnsi="Times New Roman" w:cs="Times New Roman"/>
                <w:cap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2016</w:t>
            </w: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- 2019</w:t>
            </w:r>
            <w:r w:rsidRPr="001C4B7C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роки</w:t>
            </w:r>
          </w:p>
        </w:tc>
      </w:tr>
      <w:tr w:rsidR="00553349" w:rsidRPr="007E5C26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uk-UA"/>
              </w:rPr>
              <w:t>6</w:t>
            </w:r>
            <w:r w:rsidRPr="001C4B7C">
              <w:rPr>
                <w:rFonts w:ascii="Times New Roman" w:hAnsi="Times New Roman" w:cs="Times New Roman"/>
                <w:cap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Фінансування програми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553349" w:rsidRPr="00534B6C" w:rsidRDefault="00553349" w:rsidP="00534B6C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534B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 рахунок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медичної субвенції , коштів місцевих бюджетів та інших джерел не заборонених чинним законодавством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ab/>
            </w:r>
          </w:p>
          <w:p w:rsidR="00553349" w:rsidRPr="00534B6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34B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553349" w:rsidRPr="001C4B7C" w:rsidRDefault="00553349" w:rsidP="001C4B7C">
      <w:pPr>
        <w:spacing w:after="0" w:line="240" w:lineRule="auto"/>
        <w:outlineLvl w:val="1"/>
        <w:rPr>
          <w:rFonts w:ascii="Verdana" w:hAnsi="Verdana" w:cs="Verdana"/>
          <w:b/>
          <w:bCs/>
          <w:sz w:val="28"/>
          <w:szCs w:val="28"/>
          <w:lang w:eastAsia="uk-UA"/>
        </w:rPr>
      </w:pPr>
    </w:p>
    <w:p w:rsidR="00553349" w:rsidRDefault="00553349" w:rsidP="001C4B7C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553349" w:rsidRPr="00C55514" w:rsidRDefault="00553349" w:rsidP="001C4B7C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 w:rsidRPr="00C5551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2. Визначення проблем, на розв’язання яких спрямована програма</w:t>
      </w:r>
    </w:p>
    <w:p w:rsidR="00553349" w:rsidRPr="001C4B7C" w:rsidRDefault="00553349" w:rsidP="001C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18"/>
          <w:szCs w:val="18"/>
          <w:lang w:eastAsia="uk-UA"/>
        </w:rPr>
      </w:pPr>
    </w:p>
    <w:p w:rsidR="00553349" w:rsidRPr="001C4B7C" w:rsidRDefault="00553349" w:rsidP="001C4B7C">
      <w:pPr>
        <w:spacing w:after="0" w:line="162" w:lineRule="atLeast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sz w:val="18"/>
          <w:szCs w:val="18"/>
          <w:lang w:eastAsia="uk-UA"/>
        </w:rPr>
        <w:t> </w:t>
      </w:r>
    </w:p>
    <w:p w:rsidR="00553349" w:rsidRPr="00C55514" w:rsidRDefault="00553349" w:rsidP="001C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C55514">
        <w:rPr>
          <w:rFonts w:ascii="Times New Roman" w:hAnsi="Times New Roman" w:cs="Times New Roman"/>
          <w:sz w:val="28"/>
          <w:szCs w:val="28"/>
          <w:lang w:eastAsia="uk-UA"/>
        </w:rPr>
        <w:t>Рідкісне (орфанне) захворювання – захворювання, яке загрожує життю людини або яке хронічно прогресує, призводить до скорочення тривалості життя громадянина або до його інвалідності, поширеність якого серед населення не частіше ніж 1:2000.</w:t>
      </w:r>
    </w:p>
    <w:p w:rsidR="00553349" w:rsidRPr="00C55514" w:rsidRDefault="00553349" w:rsidP="001C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C55514">
        <w:rPr>
          <w:rFonts w:ascii="Times New Roman" w:hAnsi="Times New Roman" w:cs="Times New Roman"/>
          <w:sz w:val="28"/>
          <w:szCs w:val="28"/>
          <w:lang w:eastAsia="uk-UA"/>
        </w:rPr>
        <w:t>Багато рідкісних захворювань є генетичними. Отже, супроводжують людину впродовж усього життя, навіть якщо симптоми проявляються не одразу після народження. Часто хвороба розвивається в дитинстві і близько 30% таких дітей не доживає до 5-ти років.</w:t>
      </w:r>
    </w:p>
    <w:p w:rsidR="00553349" w:rsidRPr="00C55514" w:rsidRDefault="00553349" w:rsidP="001C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C55514">
        <w:rPr>
          <w:rFonts w:ascii="Times New Roman" w:hAnsi="Times New Roman" w:cs="Times New Roman"/>
          <w:sz w:val="28"/>
          <w:szCs w:val="28"/>
          <w:lang w:eastAsia="uk-UA"/>
        </w:rPr>
        <w:t>В Україні протягом останнього десятиріччя досягнуто певного прогресу в діагностиці і лікуванні рідкісних захворювань. Найбільш поширеними в Україні орфанними захворюваннями є – фенілкетонурія, хвороба Гоше, гіпофізарний нанізм, муковісцидоз, гемофілія, вроджені коагулопатії, онкологічні та онкогематологічні захворювання, мукополісахаридоз, хвороба Фабрі, гомосцистеінурія. Головною установою з діагностики та лікування орфанних захворювань в Україні є Центр метаболічних захворювань Національної дитячої спеціалізованої лікарні «ОХМАТДИТ». До реєстру хворих з метаболічними хворобами внесено понад 900 хворих.</w:t>
      </w:r>
    </w:p>
    <w:p w:rsidR="00553349" w:rsidRDefault="00553349" w:rsidP="004E0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Лікування рідкісних захворювань коштує дорого, і нерідко пацієнти немають можливості придбати медпрепарати та спеціальне лікувальне харчування.</w:t>
      </w:r>
    </w:p>
    <w:p w:rsidR="00553349" w:rsidRPr="00C55514" w:rsidRDefault="00553349" w:rsidP="001C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Згідно</w:t>
      </w:r>
      <w:r w:rsidRPr="00C55514">
        <w:rPr>
          <w:rFonts w:ascii="Times New Roman" w:hAnsi="Times New Roman" w:cs="Times New Roman"/>
          <w:sz w:val="18"/>
          <w:szCs w:val="18"/>
          <w:lang w:eastAsia="uk-UA"/>
        </w:rPr>
        <w:t> </w:t>
      </w: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наказу</w:t>
      </w:r>
      <w:r w:rsidRPr="00C55514">
        <w:rPr>
          <w:rFonts w:ascii="Times New Roman" w:hAnsi="Times New Roman" w:cs="Times New Roman"/>
          <w:sz w:val="18"/>
          <w:szCs w:val="18"/>
          <w:lang w:eastAsia="uk-UA"/>
        </w:rPr>
        <w:t> </w:t>
      </w: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Міністерства охорони здоров’я</w:t>
      </w:r>
      <w:r w:rsidRPr="00C55514">
        <w:rPr>
          <w:rFonts w:ascii="Times New Roman" w:hAnsi="Times New Roman" w:cs="Times New Roman"/>
          <w:sz w:val="18"/>
          <w:szCs w:val="18"/>
          <w:lang w:eastAsia="uk-UA"/>
        </w:rPr>
        <w:t> </w:t>
      </w: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№778 від 27.10.2014 року</w:t>
      </w:r>
      <w:r w:rsidRPr="00C55514">
        <w:rPr>
          <w:rFonts w:ascii="Times New Roman" w:hAnsi="Times New Roman" w:cs="Times New Roman"/>
          <w:sz w:val="18"/>
          <w:szCs w:val="18"/>
          <w:lang w:eastAsia="uk-UA"/>
        </w:rPr>
        <w:t> </w:t>
      </w: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в Україні</w:t>
      </w:r>
      <w:r w:rsidRPr="00C55514">
        <w:rPr>
          <w:rFonts w:ascii="Times New Roman" w:hAnsi="Times New Roman" w:cs="Times New Roman"/>
          <w:sz w:val="18"/>
          <w:szCs w:val="18"/>
          <w:lang w:eastAsia="uk-UA"/>
        </w:rPr>
        <w:t> </w:t>
      </w: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затверджено</w:t>
      </w:r>
      <w:r w:rsidRPr="00C55514">
        <w:rPr>
          <w:rFonts w:ascii="Times New Roman" w:hAnsi="Times New Roman" w:cs="Times New Roman"/>
          <w:sz w:val="18"/>
          <w:szCs w:val="18"/>
          <w:lang w:eastAsia="uk-UA"/>
        </w:rPr>
        <w:t> </w:t>
      </w: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перелік </w:t>
      </w:r>
      <w:r w:rsidRPr="00C55514">
        <w:rPr>
          <w:rFonts w:ascii="Times New Roman" w:hAnsi="Times New Roman" w:cs="Times New Roman"/>
          <w:sz w:val="18"/>
          <w:szCs w:val="18"/>
          <w:lang w:eastAsia="uk-UA"/>
        </w:rPr>
        <w:t> </w:t>
      </w: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понад 170 нозологій</w:t>
      </w:r>
      <w:r w:rsidRPr="00C55514">
        <w:rPr>
          <w:rFonts w:ascii="Times New Roman" w:hAnsi="Times New Roman" w:cs="Times New Roman"/>
          <w:sz w:val="18"/>
          <w:szCs w:val="18"/>
          <w:lang w:eastAsia="uk-UA"/>
        </w:rPr>
        <w:t> </w:t>
      </w: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орфанних</w:t>
      </w:r>
      <w:r w:rsidRPr="00C55514">
        <w:rPr>
          <w:rFonts w:ascii="Times New Roman" w:hAnsi="Times New Roman" w:cs="Times New Roman"/>
          <w:sz w:val="18"/>
          <w:szCs w:val="18"/>
          <w:lang w:eastAsia="uk-UA"/>
        </w:rPr>
        <w:t> </w:t>
      </w: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захворювань.</w:t>
      </w:r>
    </w:p>
    <w:p w:rsidR="00553349" w:rsidRPr="001C4B7C" w:rsidRDefault="00553349" w:rsidP="001C4B7C">
      <w:pPr>
        <w:spacing w:after="0" w:line="240" w:lineRule="auto"/>
        <w:ind w:firstLine="720"/>
        <w:jc w:val="both"/>
        <w:rPr>
          <w:rFonts w:ascii="Verdana" w:hAnsi="Verdana" w:cs="Verdana"/>
          <w:sz w:val="18"/>
          <w:szCs w:val="18"/>
          <w:lang w:eastAsia="uk-UA"/>
        </w:rPr>
      </w:pP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В Новоград-Волинському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районі станом на 01.09</w:t>
      </w: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.2015 року створено реєстр орфанних захворювань. Зареєстровано</w:t>
      </w:r>
      <w:r w:rsidRPr="00C55514">
        <w:rPr>
          <w:rFonts w:ascii="Times New Roman" w:hAnsi="Times New Roman" w:cs="Times New Roman"/>
          <w:sz w:val="18"/>
          <w:szCs w:val="18"/>
          <w:lang w:eastAsia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289 хворих, із них 11</w:t>
      </w: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дітей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. Захворюваність становить 61,9</w:t>
      </w: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 10 тис. населення. Серед дитячого населення найбільше спостерігається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онкозахворюваність (гострі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лейкози), фенілкетонурія</w:t>
      </w:r>
      <w:r w:rsidRPr="00C55514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. Ліки та харчування для таких хворих є життєво необхідні.</w:t>
      </w:r>
    </w:p>
    <w:p w:rsidR="00553349" w:rsidRPr="001C4B7C" w:rsidRDefault="00553349" w:rsidP="001C4B7C">
      <w:pPr>
        <w:spacing w:before="240" w:after="60" w:line="324" w:lineRule="atLeast"/>
        <w:jc w:val="center"/>
        <w:outlineLvl w:val="0"/>
        <w:rPr>
          <w:rFonts w:ascii="Verdana" w:hAnsi="Verdana" w:cs="Verdana"/>
          <w:b/>
          <w:bCs/>
          <w:kern w:val="36"/>
          <w:sz w:val="48"/>
          <w:szCs w:val="48"/>
          <w:lang w:eastAsia="uk-UA"/>
        </w:rPr>
      </w:pPr>
      <w:r w:rsidRPr="001C4B7C">
        <w:rPr>
          <w:rFonts w:ascii="&quot;&quot;&quot;'Times New Roman'&quot;&quot;&quot;" w:hAnsi="&quot;&quot;&quot;'Times New Roman'&quot;&quot;&quot;" w:cs="&quot;&quot;&quot;'Times New Roman'&quot;&quot;&quot;"/>
          <w:b/>
          <w:bCs/>
          <w:kern w:val="36"/>
          <w:sz w:val="28"/>
          <w:szCs w:val="28"/>
          <w:lang w:eastAsia="uk-UA"/>
        </w:rPr>
        <w:t>Мета програми</w:t>
      </w:r>
    </w:p>
    <w:p w:rsidR="00553349" w:rsidRPr="001C4B7C" w:rsidRDefault="00553349" w:rsidP="00885E07">
      <w:pPr>
        <w:spacing w:after="0" w:line="162" w:lineRule="atLeast"/>
        <w:ind w:left="360"/>
        <w:jc w:val="both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sz w:val="18"/>
          <w:szCs w:val="18"/>
          <w:lang w:eastAsia="uk-UA"/>
        </w:rPr>
        <w:t> </w:t>
      </w:r>
    </w:p>
    <w:p w:rsidR="00553349" w:rsidRPr="00C55514" w:rsidRDefault="00553349" w:rsidP="00885E07">
      <w:pPr>
        <w:spacing w:after="0" w:line="162" w:lineRule="atLeast"/>
        <w:ind w:right="708" w:firstLine="708"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C55514">
        <w:rPr>
          <w:rFonts w:ascii="Times New Roman" w:hAnsi="Times New Roman" w:cs="Times New Roman"/>
          <w:sz w:val="28"/>
          <w:szCs w:val="28"/>
          <w:lang w:eastAsia="uk-UA"/>
        </w:rPr>
        <w:t>Головною метою районної   програми є дослідження показників поширеності цих захворювань серед населення, вирішення проблем доступу до лікування орфанних хворих у Новоград-Волинському районі та знаходження шляхів оптимізації забезпечення їх харчуванням та ліками за кошти </w:t>
      </w:r>
      <w:r>
        <w:rPr>
          <w:rFonts w:ascii="Times New Roman" w:hAnsi="Times New Roman" w:cs="Times New Roman"/>
          <w:sz w:val="28"/>
          <w:szCs w:val="28"/>
          <w:lang w:eastAsia="uk-UA"/>
        </w:rPr>
        <w:t>медичної субвенції,</w:t>
      </w:r>
      <w:r w:rsidRPr="00C55514">
        <w:rPr>
          <w:rFonts w:ascii="Times New Roman" w:hAnsi="Times New Roman" w:cs="Times New Roman"/>
          <w:sz w:val="28"/>
          <w:szCs w:val="28"/>
          <w:lang w:eastAsia="uk-UA"/>
        </w:rPr>
        <w:t xml:space="preserve"> районного та інших бюджетів.</w:t>
      </w:r>
    </w:p>
    <w:p w:rsidR="00553349" w:rsidRPr="001C4B7C" w:rsidRDefault="00553349" w:rsidP="00885E07">
      <w:pPr>
        <w:spacing w:after="0" w:line="162" w:lineRule="atLeast"/>
        <w:ind w:left="5" w:hanging="5"/>
        <w:jc w:val="both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sz w:val="18"/>
          <w:szCs w:val="18"/>
          <w:lang w:eastAsia="uk-UA"/>
        </w:rPr>
        <w:t> </w:t>
      </w:r>
    </w:p>
    <w:p w:rsidR="00553349" w:rsidRPr="00DA25CD" w:rsidRDefault="00553349" w:rsidP="00F74457">
      <w:pPr>
        <w:spacing w:after="0" w:line="162" w:lineRule="atLeast"/>
        <w:ind w:left="5" w:hanging="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</w:t>
      </w:r>
      <w:r w:rsidRPr="00DA25C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Шляхи і засоби розв’язання проблеми</w:t>
      </w:r>
    </w:p>
    <w:p w:rsidR="00553349" w:rsidRPr="00DA25CD" w:rsidRDefault="00553349" w:rsidP="00DA25CD">
      <w:pPr>
        <w:spacing w:after="0" w:line="240" w:lineRule="auto"/>
        <w:ind w:left="5" w:firstLine="706"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DA25C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553349" w:rsidRPr="00DA25CD" w:rsidRDefault="00553349" w:rsidP="00DA2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DA25CD">
        <w:rPr>
          <w:rFonts w:ascii="Times New Roman" w:hAnsi="Times New Roman" w:cs="Times New Roman"/>
          <w:sz w:val="28"/>
          <w:szCs w:val="28"/>
          <w:lang w:eastAsia="uk-UA"/>
        </w:rPr>
        <w:t>1.Проведення </w:t>
      </w:r>
      <w:r w:rsidRPr="00DA25CD">
        <w:rPr>
          <w:rFonts w:ascii="Times New Roman" w:hAnsi="Times New Roman" w:cs="Times New Roman"/>
          <w:spacing w:val="-3"/>
          <w:sz w:val="28"/>
          <w:szCs w:val="28"/>
          <w:lang w:eastAsia="uk-UA"/>
        </w:rPr>
        <w:t>ретроспективного</w:t>
      </w:r>
      <w:r w:rsidRPr="00DA25CD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DA25CD">
        <w:rPr>
          <w:rFonts w:ascii="Times New Roman" w:hAnsi="Times New Roman" w:cs="Times New Roman"/>
          <w:spacing w:val="-1"/>
          <w:sz w:val="28"/>
          <w:szCs w:val="28"/>
          <w:lang w:eastAsia="uk-UA"/>
        </w:rPr>
        <w:t>аналізу даних захворюваності на орфанні захворювання з визначенням вікових</w:t>
      </w:r>
      <w:r w:rsidRPr="00DA25CD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DA25CD">
        <w:rPr>
          <w:rFonts w:ascii="Times New Roman" w:hAnsi="Times New Roman" w:cs="Times New Roman"/>
          <w:spacing w:val="-3"/>
          <w:sz w:val="28"/>
          <w:szCs w:val="28"/>
          <w:lang w:eastAsia="uk-UA"/>
        </w:rPr>
        <w:t>груп</w:t>
      </w:r>
      <w:r w:rsidRPr="00DA25CD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DA25CD">
        <w:rPr>
          <w:rFonts w:ascii="Times New Roman" w:hAnsi="Times New Roman" w:cs="Times New Roman"/>
          <w:spacing w:val="-1"/>
          <w:sz w:val="28"/>
          <w:szCs w:val="28"/>
          <w:lang w:eastAsia="uk-UA"/>
        </w:rPr>
        <w:t>населення, відповідно до результатів вище зазначеного</w:t>
      </w:r>
      <w:r w:rsidRPr="00DA25CD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DA25CD">
        <w:rPr>
          <w:rFonts w:ascii="Times New Roman" w:hAnsi="Times New Roman" w:cs="Times New Roman"/>
          <w:spacing w:val="-4"/>
          <w:sz w:val="28"/>
          <w:szCs w:val="28"/>
          <w:lang w:eastAsia="uk-UA"/>
        </w:rPr>
        <w:t>аналізу.</w:t>
      </w:r>
    </w:p>
    <w:p w:rsidR="00553349" w:rsidRPr="00DA25CD" w:rsidRDefault="00553349" w:rsidP="00DA2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DA25CD">
        <w:rPr>
          <w:rFonts w:ascii="Times New Roman" w:hAnsi="Times New Roman" w:cs="Times New Roman"/>
          <w:spacing w:val="-4"/>
          <w:sz w:val="28"/>
          <w:szCs w:val="28"/>
          <w:lang w:eastAsia="uk-UA"/>
        </w:rPr>
        <w:t>2.</w:t>
      </w:r>
      <w:r w:rsidRPr="00DA25CD">
        <w:rPr>
          <w:rFonts w:ascii="Times New Roman" w:hAnsi="Times New Roman" w:cs="Times New Roman"/>
          <w:sz w:val="18"/>
          <w:szCs w:val="18"/>
          <w:lang w:eastAsia="uk-UA"/>
        </w:rPr>
        <w:t> </w:t>
      </w:r>
      <w:r w:rsidRPr="00DA25CD">
        <w:rPr>
          <w:rFonts w:ascii="Times New Roman" w:hAnsi="Times New Roman" w:cs="Times New Roman"/>
          <w:sz w:val="28"/>
          <w:szCs w:val="28"/>
          <w:lang w:eastAsia="uk-UA"/>
        </w:rPr>
        <w:t>Створення комп'ютерного </w:t>
      </w:r>
      <w:r w:rsidRPr="00DA25CD">
        <w:rPr>
          <w:rFonts w:ascii="Times New Roman" w:hAnsi="Times New Roman" w:cs="Times New Roman"/>
          <w:spacing w:val="-3"/>
          <w:sz w:val="28"/>
          <w:szCs w:val="28"/>
          <w:lang w:eastAsia="uk-UA"/>
        </w:rPr>
        <w:t>банку даних щодо хворих, які</w:t>
      </w:r>
      <w:r w:rsidRPr="00DA25CD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DA25CD">
        <w:rPr>
          <w:rFonts w:ascii="Times New Roman" w:hAnsi="Times New Roman" w:cs="Times New Roman"/>
          <w:spacing w:val="-2"/>
          <w:sz w:val="28"/>
          <w:szCs w:val="28"/>
          <w:lang w:eastAsia="uk-UA"/>
        </w:rPr>
        <w:t>страждають на</w:t>
      </w:r>
      <w:r w:rsidRPr="00DA25CD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DA25CD">
        <w:rPr>
          <w:rFonts w:ascii="Times New Roman" w:hAnsi="Times New Roman" w:cs="Times New Roman"/>
          <w:spacing w:val="-3"/>
          <w:sz w:val="28"/>
          <w:szCs w:val="28"/>
          <w:lang w:eastAsia="uk-UA"/>
        </w:rPr>
        <w:t>орфанні захворювання, забезпечення функціонування</w:t>
      </w:r>
      <w:r>
        <w:rPr>
          <w:rFonts w:ascii="Times New Roman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A25CD">
        <w:rPr>
          <w:rFonts w:ascii="Times New Roman" w:hAnsi="Times New Roman" w:cs="Times New Roman"/>
          <w:spacing w:val="-2"/>
          <w:sz w:val="28"/>
          <w:szCs w:val="28"/>
          <w:lang w:eastAsia="uk-UA"/>
        </w:rPr>
        <w:t>інформаційної</w:t>
      </w:r>
      <w:r w:rsidRPr="00DA25CD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DA25CD">
        <w:rPr>
          <w:rFonts w:ascii="Times New Roman" w:hAnsi="Times New Roman" w:cs="Times New Roman"/>
          <w:spacing w:val="-3"/>
          <w:sz w:val="28"/>
          <w:szCs w:val="28"/>
          <w:lang w:eastAsia="uk-UA"/>
        </w:rPr>
        <w:t>системи, його</w:t>
      </w:r>
      <w:r w:rsidRPr="00DA25CD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DA25CD">
        <w:rPr>
          <w:rFonts w:ascii="Times New Roman" w:hAnsi="Times New Roman" w:cs="Times New Roman"/>
          <w:spacing w:val="-2"/>
          <w:sz w:val="28"/>
          <w:szCs w:val="28"/>
          <w:lang w:eastAsia="uk-UA"/>
        </w:rPr>
        <w:t>доповнення й</w:t>
      </w:r>
      <w:r w:rsidRPr="00DA25CD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DA25CD">
        <w:rPr>
          <w:rFonts w:ascii="Times New Roman" w:hAnsi="Times New Roman" w:cs="Times New Roman"/>
          <w:spacing w:val="-3"/>
          <w:sz w:val="28"/>
          <w:szCs w:val="28"/>
          <w:lang w:eastAsia="uk-UA"/>
        </w:rPr>
        <w:t>корегування.</w:t>
      </w:r>
    </w:p>
    <w:p w:rsidR="00553349" w:rsidRPr="006F4B9B" w:rsidRDefault="00553349" w:rsidP="00DA2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DA25CD">
        <w:rPr>
          <w:rFonts w:ascii="Times New Roman" w:hAnsi="Times New Roman" w:cs="Times New Roman"/>
          <w:spacing w:val="-3"/>
          <w:sz w:val="28"/>
          <w:szCs w:val="28"/>
          <w:lang w:eastAsia="uk-UA"/>
        </w:rPr>
        <w:t>3.</w:t>
      </w:r>
      <w:r w:rsidRPr="00DA25CD">
        <w:rPr>
          <w:rFonts w:ascii="Times New Roman" w:hAnsi="Times New Roman" w:cs="Times New Roman"/>
          <w:sz w:val="28"/>
          <w:szCs w:val="28"/>
          <w:lang w:eastAsia="uk-UA"/>
        </w:rPr>
        <w:t>Забезпечення повного охоплення диспансерним наглядом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хворих орфанними захворюваннями в тому числі</w:t>
      </w:r>
      <w:r w:rsidRPr="00DA25CD">
        <w:rPr>
          <w:rFonts w:ascii="Times New Roman" w:hAnsi="Times New Roman" w:cs="Times New Roman"/>
          <w:sz w:val="28"/>
          <w:szCs w:val="28"/>
          <w:lang w:eastAsia="uk-UA"/>
        </w:rPr>
        <w:t xml:space="preserve"> всіх дітей і підлітків із затримкою росту відповідно до діючих протоколів з обов’язковим контролем стану </w:t>
      </w:r>
      <w:r w:rsidRPr="006F4B9B">
        <w:rPr>
          <w:rFonts w:ascii="Times New Roman" w:hAnsi="Times New Roman" w:cs="Times New Roman"/>
          <w:sz w:val="28"/>
          <w:szCs w:val="28"/>
          <w:lang w:eastAsia="uk-UA"/>
        </w:rPr>
        <w:t>зон росту</w:t>
      </w:r>
      <w:r w:rsidRPr="006F4B9B">
        <w:rPr>
          <w:rFonts w:ascii="Times New Roman" w:hAnsi="Times New Roman" w:cs="Times New Roman"/>
          <w:spacing w:val="-5"/>
          <w:sz w:val="28"/>
          <w:szCs w:val="28"/>
          <w:lang w:eastAsia="uk-UA"/>
        </w:rPr>
        <w:t>.</w:t>
      </w:r>
    </w:p>
    <w:p w:rsidR="00553349" w:rsidRDefault="00553349" w:rsidP="004B5F6F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Pr="001C4B7C" w:rsidRDefault="00553349" w:rsidP="004B5F6F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sz w:val="18"/>
          <w:szCs w:val="18"/>
          <w:lang w:eastAsia="uk-UA"/>
        </w:rPr>
        <w:t> </w:t>
      </w:r>
    </w:p>
    <w:p w:rsidR="00553349" w:rsidRPr="00C55514" w:rsidRDefault="00553349" w:rsidP="001C4B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uk-UA"/>
        </w:rPr>
      </w:pPr>
      <w:r w:rsidRPr="00C5551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Ресурсне забезпечення районної програми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забезпечення громадян, які страждають на рідкісні(орфанні)захворювання лікарськими засобами та відповідними харчовими продуктами для спеціального дієтичного споживання.</w:t>
      </w:r>
      <w:r w:rsidRPr="00C55514">
        <w:rPr>
          <w:rFonts w:ascii="Times New Roman" w:hAnsi="Times New Roman" w:cs="Times New Roman"/>
          <w:sz w:val="18"/>
          <w:szCs w:val="18"/>
          <w:lang w:eastAsia="uk-UA"/>
        </w:rPr>
        <w:t> </w:t>
      </w:r>
    </w:p>
    <w:p w:rsidR="00553349" w:rsidRDefault="00553349" w:rsidP="001C4B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C4B7C">
        <w:rPr>
          <w:rFonts w:ascii="Verdana" w:hAnsi="Verdana" w:cs="Verdana"/>
          <w:b/>
          <w:bCs/>
          <w:sz w:val="18"/>
          <w:szCs w:val="18"/>
          <w:lang w:eastAsia="uk-UA"/>
        </w:rPr>
        <w:t>        </w:t>
      </w:r>
      <w:r w:rsidRPr="001C4B7C">
        <w:rPr>
          <w:rFonts w:ascii="Verdana" w:hAnsi="Verdana" w:cs="Verdana"/>
          <w:sz w:val="18"/>
          <w:szCs w:val="18"/>
          <w:lang w:eastAsia="uk-UA"/>
        </w:rPr>
        <w:t> </w:t>
      </w:r>
      <w:r w:rsidRPr="00C55514">
        <w:rPr>
          <w:rFonts w:ascii="Times New Roman" w:hAnsi="Times New Roman" w:cs="Times New Roman"/>
          <w:sz w:val="28"/>
          <w:szCs w:val="28"/>
          <w:lang w:eastAsia="uk-UA"/>
        </w:rPr>
        <w:t xml:space="preserve">Фінансування програми здійснюється головним розпорядником коштів районного бюджету в межах видатків, передбачених відповідним районним бюджетом, та за рахунок </w:t>
      </w:r>
      <w:r>
        <w:rPr>
          <w:rFonts w:ascii="Times New Roman" w:hAnsi="Times New Roman" w:cs="Times New Roman"/>
          <w:sz w:val="28"/>
          <w:szCs w:val="28"/>
          <w:lang w:eastAsia="uk-UA"/>
        </w:rPr>
        <w:t>медичної субвенції, коштів місцевих бюджетів та інших джерел не</w:t>
      </w:r>
      <w:r w:rsidRPr="00C55514">
        <w:rPr>
          <w:rFonts w:ascii="Times New Roman" w:hAnsi="Times New Roman" w:cs="Times New Roman"/>
          <w:sz w:val="28"/>
          <w:szCs w:val="28"/>
          <w:lang w:eastAsia="uk-UA"/>
        </w:rPr>
        <w:t xml:space="preserve"> заборонених чинним законодавством, відповідно до потреб.</w:t>
      </w:r>
    </w:p>
    <w:p w:rsidR="00553349" w:rsidRPr="004E0DF6" w:rsidRDefault="00553349" w:rsidP="001C4B7C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  <w:r>
        <w:rPr>
          <w:rFonts w:ascii="Times New Roman" w:hAnsi="Times New Roman" w:cs="Times New Roman"/>
          <w:sz w:val="18"/>
          <w:szCs w:val="18"/>
          <w:lang w:eastAsia="uk-UA"/>
        </w:rPr>
        <w:t xml:space="preserve">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63"/>
        <w:gridCol w:w="1264"/>
        <w:gridCol w:w="1276"/>
        <w:gridCol w:w="1275"/>
        <w:gridCol w:w="1545"/>
        <w:gridCol w:w="2023"/>
      </w:tblGrid>
      <w:tr w:rsidR="00553349" w:rsidRPr="007E5C26"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Обсяг  коштів, які пропонується залучити на виконання програми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2016р.</w:t>
            </w:r>
          </w:p>
          <w:p w:rsidR="00553349" w:rsidRDefault="00553349" w:rsidP="00DD249F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553349" w:rsidRPr="00DD249F" w:rsidRDefault="00553349" w:rsidP="00DD249F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2017р.</w:t>
            </w:r>
          </w:p>
          <w:p w:rsidR="00553349" w:rsidRDefault="00553349" w:rsidP="00587379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553349" w:rsidRPr="00587379" w:rsidRDefault="00553349" w:rsidP="00587379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2018р.</w:t>
            </w:r>
          </w:p>
          <w:p w:rsidR="00553349" w:rsidRDefault="00553349" w:rsidP="00587379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553349" w:rsidRPr="00587379" w:rsidRDefault="00553349" w:rsidP="00587379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587379" w:rsidRDefault="00553349" w:rsidP="00587379">
            <w:pPr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2019р.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20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3349" w:rsidRDefault="00553349" w:rsidP="00471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Усього витрат на виконання програми</w:t>
            </w:r>
          </w:p>
          <w:p w:rsidR="00553349" w:rsidRDefault="00553349" w:rsidP="004716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553349" w:rsidRPr="00587379" w:rsidRDefault="00553349" w:rsidP="00587379">
            <w:pPr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3349" w:rsidRPr="007E5C26">
        <w:tc>
          <w:tcPr>
            <w:tcW w:w="1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C4B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Обсяг ресурсів, усього, (тис.грн) у тому числі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587379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1433200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587379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1949760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587379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2121696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587379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2546035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3349" w:rsidRPr="00587379" w:rsidRDefault="00553349" w:rsidP="00471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8050691</w:t>
            </w:r>
          </w:p>
        </w:tc>
      </w:tr>
      <w:tr w:rsidR="00553349" w:rsidRPr="007E5C26">
        <w:tc>
          <w:tcPr>
            <w:tcW w:w="1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Медична субвенція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3349" w:rsidRPr="007E5C26">
        <w:tc>
          <w:tcPr>
            <w:tcW w:w="19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Районний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587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53349" w:rsidRPr="001C4B7C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3349" w:rsidRPr="007E5C26">
        <w:tc>
          <w:tcPr>
            <w:tcW w:w="19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Бюджет сільських , селищної ради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53349" w:rsidRPr="001C4B7C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53349" w:rsidRPr="007E5C26">
        <w:tc>
          <w:tcPr>
            <w:tcW w:w="19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Default="00553349" w:rsidP="00A0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49" w:rsidRPr="001C4B7C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3349" w:rsidRPr="001C4B7C" w:rsidRDefault="00553349" w:rsidP="001C4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sz w:val="18"/>
          <w:szCs w:val="18"/>
          <w:lang w:eastAsia="uk-UA"/>
        </w:rPr>
        <w:t> </w:t>
      </w: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Pr="00914CE6" w:rsidRDefault="00553349" w:rsidP="001C4B7C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:rsidR="00553349" w:rsidRPr="00914CE6" w:rsidRDefault="00553349" w:rsidP="001C4B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uk-UA"/>
        </w:rPr>
      </w:pPr>
      <w:r w:rsidRPr="00914CE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Перелік завдань і заходів програми та результативні показники.</w:t>
      </w:r>
    </w:p>
    <w:p w:rsidR="00553349" w:rsidRPr="001C4B7C" w:rsidRDefault="00553349" w:rsidP="001C4B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1C4B7C">
        <w:rPr>
          <w:rFonts w:ascii="Times New Roman" w:hAnsi="Times New Roman" w:cs="Times New Roman"/>
          <w:b/>
          <w:bCs/>
          <w:sz w:val="18"/>
          <w:szCs w:val="18"/>
          <w:lang w:eastAsia="uk-UA"/>
        </w:rPr>
        <w:t>        </w:t>
      </w:r>
      <w:r>
        <w:rPr>
          <w:rFonts w:ascii="Times New Roman" w:hAnsi="Times New Roman" w:cs="Times New Roman"/>
          <w:b/>
          <w:bCs/>
          <w:sz w:val="18"/>
          <w:szCs w:val="18"/>
          <w:lang w:eastAsia="uk-UA"/>
        </w:rPr>
        <w:t xml:space="preserve">      </w:t>
      </w:r>
      <w:r w:rsidRPr="001C4B7C">
        <w:rPr>
          <w:rFonts w:ascii="Times New Roman" w:hAnsi="Times New Roman" w:cs="Times New Roman"/>
          <w:sz w:val="18"/>
          <w:szCs w:val="18"/>
          <w:lang w:eastAsia="uk-UA"/>
        </w:rPr>
        <w:t> </w:t>
      </w:r>
      <w:r w:rsidRPr="001C4B7C">
        <w:rPr>
          <w:rFonts w:ascii="Times New Roman" w:hAnsi="Times New Roman" w:cs="Times New Roman"/>
          <w:sz w:val="28"/>
          <w:szCs w:val="28"/>
          <w:lang w:eastAsia="uk-UA"/>
        </w:rPr>
        <w:t>Основними завданнями Програми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C4B7C">
        <w:rPr>
          <w:rFonts w:ascii="Times New Roman" w:hAnsi="Times New Roman" w:cs="Times New Roman"/>
          <w:sz w:val="28"/>
          <w:szCs w:val="28"/>
          <w:lang w:eastAsia="uk-UA"/>
        </w:rPr>
        <w:t>є:</w:t>
      </w:r>
    </w:p>
    <w:p w:rsidR="00553349" w:rsidRPr="001C4B7C" w:rsidRDefault="00553349" w:rsidP="00C96F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Pr="001C4B7C">
        <w:rPr>
          <w:rFonts w:ascii="Times New Roman" w:hAnsi="Times New Roman" w:cs="Times New Roman"/>
          <w:sz w:val="28"/>
          <w:szCs w:val="28"/>
          <w:lang w:eastAsia="uk-UA"/>
        </w:rPr>
        <w:t xml:space="preserve">організаційне забезпечення ранньої діагностики, лікування та профілактики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орф</w:t>
      </w:r>
      <w:r w:rsidRPr="001C4B7C">
        <w:rPr>
          <w:rFonts w:ascii="Times New Roman" w:hAnsi="Times New Roman" w:cs="Times New Roman"/>
          <w:sz w:val="28"/>
          <w:szCs w:val="28"/>
          <w:lang w:eastAsia="uk-UA"/>
        </w:rPr>
        <w:t>анних хвороб;</w:t>
      </w:r>
    </w:p>
    <w:p w:rsidR="00553349" w:rsidRPr="001C4B7C" w:rsidRDefault="00553349" w:rsidP="00C96F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1C4B7C">
        <w:rPr>
          <w:rFonts w:ascii="Times New Roman" w:hAnsi="Times New Roman" w:cs="Times New Roman"/>
          <w:sz w:val="28"/>
          <w:szCs w:val="28"/>
          <w:lang w:eastAsia="uk-UA"/>
        </w:rPr>
        <w:t>- забезпечення базисного лікування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C4B7C">
        <w:rPr>
          <w:rFonts w:ascii="Times New Roman" w:hAnsi="Times New Roman" w:cs="Times New Roman"/>
          <w:sz w:val="28"/>
          <w:szCs w:val="28"/>
          <w:lang w:eastAsia="uk-UA"/>
        </w:rPr>
        <w:t xml:space="preserve"> хворих;</w:t>
      </w:r>
    </w:p>
    <w:p w:rsidR="00553349" w:rsidRPr="001C4B7C" w:rsidRDefault="00553349" w:rsidP="00C96F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1C4B7C">
        <w:rPr>
          <w:rFonts w:ascii="Times New Roman" w:hAnsi="Times New Roman" w:cs="Times New Roman"/>
          <w:sz w:val="28"/>
          <w:szCs w:val="28"/>
          <w:lang w:eastAsia="uk-UA"/>
        </w:rPr>
        <w:t>- зниження захворюваності, інвалідизації та смертності;</w:t>
      </w:r>
    </w:p>
    <w:p w:rsidR="00553349" w:rsidRPr="001C4B7C" w:rsidRDefault="00553349" w:rsidP="00C96F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 w:rsidRPr="001C4B7C">
        <w:rPr>
          <w:rFonts w:ascii="Times New Roman" w:hAnsi="Times New Roman" w:cs="Times New Roman"/>
          <w:sz w:val="28"/>
          <w:szCs w:val="28"/>
          <w:lang w:eastAsia="uk-UA"/>
        </w:rPr>
        <w:t>- реалізація інформаційно-освітньої програми для населення;</w:t>
      </w:r>
    </w:p>
    <w:p w:rsidR="00553349" w:rsidRPr="001C4B7C" w:rsidRDefault="00553349" w:rsidP="00C96FDF">
      <w:pPr>
        <w:spacing w:after="0" w:line="240" w:lineRule="auto"/>
        <w:jc w:val="both"/>
        <w:rPr>
          <w:rFonts w:ascii="Verdana" w:hAnsi="Verdana" w:cs="Verdana"/>
          <w:sz w:val="18"/>
          <w:szCs w:val="18"/>
          <w:lang w:eastAsia="uk-UA"/>
        </w:rPr>
      </w:pPr>
    </w:p>
    <w:p w:rsidR="00553349" w:rsidRPr="001C4B7C" w:rsidRDefault="00553349" w:rsidP="00C96FDF">
      <w:pPr>
        <w:spacing w:after="0" w:line="240" w:lineRule="auto"/>
        <w:jc w:val="both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sz w:val="18"/>
          <w:szCs w:val="18"/>
          <w:lang w:eastAsia="uk-UA"/>
        </w:rPr>
        <w:t> </w:t>
      </w: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sz w:val="18"/>
          <w:szCs w:val="18"/>
          <w:lang w:eastAsia="uk-UA"/>
        </w:rPr>
        <w:t>                                                                             </w:t>
      </w: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</w:p>
    <w:p w:rsidR="00553349" w:rsidRPr="004E0DF6" w:rsidRDefault="00553349" w:rsidP="001C4B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53349" w:rsidRPr="004E0DF6" w:rsidRDefault="00553349" w:rsidP="001C4B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E0DF6">
        <w:rPr>
          <w:rFonts w:ascii="Times New Roman" w:hAnsi="Times New Roman" w:cs="Times New Roman"/>
          <w:sz w:val="28"/>
          <w:szCs w:val="28"/>
          <w:lang w:eastAsia="uk-UA"/>
        </w:rPr>
        <w:t xml:space="preserve">                                                              </w:t>
      </w:r>
      <w:r w:rsidRPr="004E0DF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ЗАХОДИ</w:t>
      </w:r>
    </w:p>
    <w:p w:rsidR="00553349" w:rsidRPr="004E0DF6" w:rsidRDefault="00553349" w:rsidP="00E11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E0DF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щодо забезпечення громадян, які страждають на рідкісні  (орфанні) захворювання, лікарськими засобами та відповідними харчовими продуктами для спеціального дієтичного споживання, що закуповуються за рахунок коштів місцевого бюджету, медичної субвенції , а також інших джерел не заборонених законодавством.</w:t>
      </w:r>
    </w:p>
    <w:p w:rsidR="00553349" w:rsidRPr="004E0DF6" w:rsidRDefault="00553349" w:rsidP="001C4B7C">
      <w:pPr>
        <w:spacing w:after="226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53349" w:rsidRDefault="00553349" w:rsidP="001C4B7C">
      <w:pPr>
        <w:spacing w:after="226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:rsidR="00553349" w:rsidRDefault="00553349" w:rsidP="001C4B7C">
      <w:pPr>
        <w:spacing w:after="226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4154"/>
        <w:gridCol w:w="2867"/>
        <w:gridCol w:w="2281"/>
      </w:tblGrid>
      <w:tr w:rsidR="00553349" w:rsidRPr="007E5C26">
        <w:trPr>
          <w:trHeight w:val="915"/>
        </w:trPr>
        <w:tc>
          <w:tcPr>
            <w:tcW w:w="559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C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C26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225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C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Зміст заходів</w:t>
            </w:r>
          </w:p>
        </w:tc>
        <w:tc>
          <w:tcPr>
            <w:tcW w:w="2488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C26">
              <w:rPr>
                <w:rFonts w:ascii="Times New Roman" w:hAnsi="Times New Roman" w:cs="Times New Roman"/>
                <w:sz w:val="24"/>
                <w:szCs w:val="24"/>
              </w:rPr>
              <w:t xml:space="preserve">        Виконавці</w:t>
            </w:r>
          </w:p>
        </w:tc>
        <w:tc>
          <w:tcPr>
            <w:tcW w:w="2357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C26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</w:tr>
      <w:tr w:rsidR="00553349" w:rsidRPr="007E5C26">
        <w:trPr>
          <w:trHeight w:val="450"/>
        </w:trPr>
        <w:tc>
          <w:tcPr>
            <w:tcW w:w="559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5" w:type="dxa"/>
          </w:tcPr>
          <w:p w:rsidR="00553349" w:rsidRPr="007E5C26" w:rsidRDefault="00553349" w:rsidP="007E5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Створення  комп'ютерного банку даних щодо хворих, які страждають на орфанні захворювання,забезпечення</w:t>
            </w:r>
          </w:p>
          <w:p w:rsidR="00553349" w:rsidRPr="007E5C26" w:rsidRDefault="00553349" w:rsidP="007E5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 xml:space="preserve">функціонування інформаційної системи його доповнення й корегування                         </w:t>
            </w:r>
          </w:p>
        </w:tc>
        <w:tc>
          <w:tcPr>
            <w:tcW w:w="2488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КЗ «ЦПМСД Новоград-Волинського району», міськрай ТМО</w:t>
            </w:r>
          </w:p>
        </w:tc>
        <w:tc>
          <w:tcPr>
            <w:tcW w:w="2357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4</w:t>
            </w:r>
          </w:p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Лютий 2016року</w:t>
            </w:r>
          </w:p>
        </w:tc>
      </w:tr>
      <w:tr w:rsidR="00553349" w:rsidRPr="007E5C26">
        <w:trPr>
          <w:trHeight w:val="2235"/>
        </w:trPr>
        <w:tc>
          <w:tcPr>
            <w:tcW w:w="559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5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Проведення ретроспективного аналізу даних захворюваності на орфанні захворювання з визначенням вікових груп населення, відповідно до результатів вищезазначеного аналізу</w:t>
            </w:r>
          </w:p>
        </w:tc>
        <w:tc>
          <w:tcPr>
            <w:tcW w:w="2488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Сектор охорони здоров</w:t>
            </w:r>
            <w:r w:rsidRPr="007E5C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я, КЗ «ЦПМСД Новоград-Волинського району», Новоград-Волинське міськрай ТМО</w:t>
            </w:r>
          </w:p>
        </w:tc>
        <w:tc>
          <w:tcPr>
            <w:tcW w:w="2357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Лютий 2016 року</w:t>
            </w:r>
          </w:p>
        </w:tc>
      </w:tr>
      <w:tr w:rsidR="00553349" w:rsidRPr="007E5C26">
        <w:trPr>
          <w:trHeight w:val="3300"/>
        </w:trPr>
        <w:tc>
          <w:tcPr>
            <w:tcW w:w="559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5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Провести обрахування потреб на здійснення заходів щодо безперебійного і безоплатного забезпечення громадян, які страждають на рідкісні (орфанні)захворювання ,лікарськими засобами та харчовими продуктами для спеціального дієтичного споживання на наступний рік</w:t>
            </w:r>
          </w:p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Сектор охорони здоров</w:t>
            </w:r>
            <w:r w:rsidRPr="007E5C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я , КЗ «ЦПМСД Новоград-Волинського району», міськрай ТМО</w:t>
            </w:r>
          </w:p>
        </w:tc>
        <w:tc>
          <w:tcPr>
            <w:tcW w:w="2357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Березень 2016,</w:t>
            </w:r>
          </w:p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 xml:space="preserve">щороку до 01 листопада </w:t>
            </w:r>
          </w:p>
        </w:tc>
      </w:tr>
      <w:tr w:rsidR="00553349" w:rsidRPr="007E5C26">
        <w:trPr>
          <w:trHeight w:val="1350"/>
        </w:trPr>
        <w:tc>
          <w:tcPr>
            <w:tcW w:w="559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5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Передбачити видатки на фінансування здійснення безперебійного і безоплатного забезпечення громадян, які страждають рідкісні (орфанні) захворювання, лікарськими засобами та харчовими продуктами для спеціального дієтичного споживання з урахуванням фінансових можливостей бюджету</w:t>
            </w:r>
          </w:p>
        </w:tc>
        <w:tc>
          <w:tcPr>
            <w:tcW w:w="2488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Сектор охорони здоров</w:t>
            </w:r>
            <w:r w:rsidRPr="007E5C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я ,управління фінансів райдержадміністрації</w:t>
            </w:r>
          </w:p>
        </w:tc>
        <w:tc>
          <w:tcPr>
            <w:tcW w:w="2357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Щороку при формуванні бюджету</w:t>
            </w:r>
          </w:p>
        </w:tc>
      </w:tr>
      <w:tr w:rsidR="00553349" w:rsidRPr="007E5C26">
        <w:trPr>
          <w:trHeight w:val="2835"/>
        </w:trPr>
        <w:tc>
          <w:tcPr>
            <w:tcW w:w="559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5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Уживати заходів щодо безперебійного і безоплатного забезпечення громадян , які страждають на рідкісні (орфанні)захворювання , лікарськими засобами та харчовими продуктами закладами охорони здоров’я, закуплених з урахуванням фінансових можливостей державного та районного бюджетів</w:t>
            </w:r>
          </w:p>
        </w:tc>
        <w:tc>
          <w:tcPr>
            <w:tcW w:w="2488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Сектор охорони здоров</w:t>
            </w:r>
            <w:r w:rsidRPr="007E5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я райдержадміністрації</w:t>
            </w:r>
          </w:p>
        </w:tc>
        <w:tc>
          <w:tcPr>
            <w:tcW w:w="2357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553349" w:rsidRPr="007E5C26">
        <w:trPr>
          <w:trHeight w:val="2535"/>
        </w:trPr>
        <w:tc>
          <w:tcPr>
            <w:tcW w:w="559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5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Забезпечити диспансерним наглядом громадян , які страждають на рідкісні (орфанні) захворювання,в тому числі всіх дітей та підлітків із затримкою росту відповідно до діючих протоколів з обов’язковим контролем стану зон росту</w:t>
            </w:r>
          </w:p>
        </w:tc>
        <w:tc>
          <w:tcPr>
            <w:tcW w:w="2488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 xml:space="preserve"> КЗ «ЦПМСД Новоград-Волинського району», міськрай ТМО</w:t>
            </w:r>
          </w:p>
        </w:tc>
        <w:tc>
          <w:tcPr>
            <w:tcW w:w="2357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553349" w:rsidRPr="007E5C26">
        <w:trPr>
          <w:trHeight w:val="1635"/>
        </w:trPr>
        <w:tc>
          <w:tcPr>
            <w:tcW w:w="559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5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Активізувати інформаційно-просвітницьку роботу серед населення щодо висвітлення актуальності питання рідкісних (орфанних) захворювань</w:t>
            </w:r>
          </w:p>
        </w:tc>
        <w:tc>
          <w:tcPr>
            <w:tcW w:w="2488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Сектор охорони здоров</w:t>
            </w:r>
            <w:r w:rsidRPr="007E5C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я райдержадміністрації, КЗ «ЦПМСД Новоград-Волинського району»,міськрай ТМО</w:t>
            </w:r>
          </w:p>
        </w:tc>
        <w:tc>
          <w:tcPr>
            <w:tcW w:w="2357" w:type="dxa"/>
          </w:tcPr>
          <w:p w:rsidR="00553349" w:rsidRPr="007E5C26" w:rsidRDefault="00553349" w:rsidP="007E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26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</w:tbl>
    <w:p w:rsidR="00553349" w:rsidRPr="00DB3FAF" w:rsidRDefault="00553349" w:rsidP="001C4B7C">
      <w:pPr>
        <w:spacing w:after="226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53349" w:rsidRDefault="00553349" w:rsidP="001C4B7C">
      <w:pPr>
        <w:spacing w:after="226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:rsidR="00553349" w:rsidRDefault="00553349" w:rsidP="001C4B7C">
      <w:pPr>
        <w:spacing w:after="226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:rsidR="00553349" w:rsidRDefault="00553349" w:rsidP="004B5F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B5F6F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голови </w:t>
      </w:r>
    </w:p>
    <w:p w:rsidR="00553349" w:rsidRPr="004B5F6F" w:rsidRDefault="00553349" w:rsidP="004B5F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районної ради                                                                    А.О.Громико</w:t>
      </w:r>
    </w:p>
    <w:p w:rsidR="00553349" w:rsidRDefault="00553349" w:rsidP="004B5F6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:rsidR="00553349" w:rsidRDefault="00553349" w:rsidP="001C4B7C">
      <w:pPr>
        <w:spacing w:after="226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:rsidR="00553349" w:rsidRDefault="00553349" w:rsidP="001C4B7C">
      <w:pPr>
        <w:spacing w:after="226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:rsidR="00553349" w:rsidRDefault="00553349" w:rsidP="001C4B7C">
      <w:pPr>
        <w:spacing w:after="226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:rsidR="00553349" w:rsidRDefault="00553349" w:rsidP="001C4B7C">
      <w:pPr>
        <w:spacing w:after="226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:rsidR="00553349" w:rsidRDefault="00553349" w:rsidP="001C4B7C">
      <w:pPr>
        <w:spacing w:after="226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:rsidR="00553349" w:rsidRDefault="00553349" w:rsidP="001C4B7C">
      <w:pPr>
        <w:spacing w:after="226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:rsidR="00553349" w:rsidRPr="006F4B9B" w:rsidRDefault="00553349" w:rsidP="001C4B7C">
      <w:pPr>
        <w:spacing w:after="226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:rsidR="00553349" w:rsidRPr="001C4B7C" w:rsidRDefault="00553349" w:rsidP="001C4B7C">
      <w:pPr>
        <w:spacing w:after="0" w:line="240" w:lineRule="auto"/>
        <w:ind w:firstLine="709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sz w:val="18"/>
          <w:szCs w:val="18"/>
          <w:lang w:eastAsia="uk-UA"/>
        </w:rPr>
        <w:t> </w:t>
      </w:r>
    </w:p>
    <w:p w:rsidR="00553349" w:rsidRPr="001C4B7C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b/>
          <w:bCs/>
          <w:sz w:val="18"/>
          <w:szCs w:val="18"/>
          <w:lang w:eastAsia="uk-UA"/>
        </w:rPr>
        <w:br w:type="page"/>
      </w:r>
    </w:p>
    <w:p w:rsidR="00553349" w:rsidRPr="001C4B7C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sz w:val="18"/>
          <w:szCs w:val="18"/>
          <w:lang w:eastAsia="uk-UA"/>
        </w:rPr>
        <w:t> </w:t>
      </w:r>
    </w:p>
    <w:p w:rsidR="00553349" w:rsidRPr="001C4B7C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sz w:val="18"/>
          <w:szCs w:val="18"/>
          <w:lang w:eastAsia="uk-UA"/>
        </w:rPr>
        <w:t> </w:t>
      </w:r>
    </w:p>
    <w:p w:rsidR="00553349" w:rsidRPr="001C4B7C" w:rsidRDefault="00553349" w:rsidP="001C4B7C">
      <w:pPr>
        <w:spacing w:after="0" w:line="240" w:lineRule="auto"/>
        <w:jc w:val="center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sz w:val="18"/>
          <w:szCs w:val="18"/>
          <w:lang w:eastAsia="uk-UA"/>
        </w:rPr>
        <w:t> </w:t>
      </w:r>
    </w:p>
    <w:p w:rsidR="00553349" w:rsidRPr="001C4B7C" w:rsidRDefault="00553349" w:rsidP="001C4B7C">
      <w:pPr>
        <w:spacing w:after="0" w:line="240" w:lineRule="auto"/>
        <w:jc w:val="center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sz w:val="18"/>
          <w:szCs w:val="18"/>
          <w:lang w:eastAsia="uk-UA"/>
        </w:rPr>
        <w:t> </w:t>
      </w:r>
    </w:p>
    <w:p w:rsidR="00553349" w:rsidRPr="001C4B7C" w:rsidRDefault="00553349" w:rsidP="001C4B7C">
      <w:pPr>
        <w:spacing w:after="0" w:line="240" w:lineRule="auto"/>
        <w:jc w:val="center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sz w:val="18"/>
          <w:szCs w:val="18"/>
          <w:lang w:eastAsia="uk-UA"/>
        </w:rPr>
        <w:t> </w:t>
      </w:r>
    </w:p>
    <w:p w:rsidR="00553349" w:rsidRPr="001C4B7C" w:rsidRDefault="00553349" w:rsidP="001C4B7C">
      <w:pPr>
        <w:spacing w:after="0" w:line="240" w:lineRule="auto"/>
        <w:rPr>
          <w:rFonts w:ascii="Verdana" w:hAnsi="Verdana" w:cs="Verdana"/>
          <w:sz w:val="18"/>
          <w:szCs w:val="18"/>
          <w:lang w:eastAsia="uk-UA"/>
        </w:rPr>
      </w:pPr>
      <w:r w:rsidRPr="001C4B7C">
        <w:rPr>
          <w:rFonts w:ascii="Verdana" w:hAnsi="Verdana" w:cs="Verdana"/>
          <w:sz w:val="18"/>
          <w:szCs w:val="18"/>
          <w:lang w:eastAsia="uk-UA"/>
        </w:rPr>
        <w:t> </w:t>
      </w:r>
    </w:p>
    <w:p w:rsidR="00553349" w:rsidRPr="001C4B7C" w:rsidRDefault="00553349" w:rsidP="001C4B7C"/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p w:rsidR="00553349" w:rsidRPr="001C4B7C" w:rsidRDefault="00553349" w:rsidP="001C4B7C">
      <w:pPr>
        <w:ind w:firstLine="708"/>
      </w:pPr>
    </w:p>
    <w:sectPr w:rsidR="00553349" w:rsidRPr="001C4B7C" w:rsidSect="00787A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349" w:rsidRDefault="00553349" w:rsidP="00787AFB">
      <w:pPr>
        <w:spacing w:after="0" w:line="240" w:lineRule="auto"/>
      </w:pPr>
      <w:r>
        <w:separator/>
      </w:r>
    </w:p>
  </w:endnote>
  <w:endnote w:type="continuationSeparator" w:id="0">
    <w:p w:rsidR="00553349" w:rsidRDefault="00553349" w:rsidP="0078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&quot;&quot;&quot;'Times New Roman'&quot;&quot;&quot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349" w:rsidRDefault="00553349" w:rsidP="00787AFB">
      <w:pPr>
        <w:spacing w:after="0" w:line="240" w:lineRule="auto"/>
      </w:pPr>
      <w:r>
        <w:separator/>
      </w:r>
    </w:p>
  </w:footnote>
  <w:footnote w:type="continuationSeparator" w:id="0">
    <w:p w:rsidR="00553349" w:rsidRDefault="00553349" w:rsidP="00787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FAA"/>
    <w:rsid w:val="0004650A"/>
    <w:rsid w:val="000646AB"/>
    <w:rsid w:val="000E2C1A"/>
    <w:rsid w:val="001B5380"/>
    <w:rsid w:val="001C4B7C"/>
    <w:rsid w:val="002D6E33"/>
    <w:rsid w:val="003F4D15"/>
    <w:rsid w:val="00416C33"/>
    <w:rsid w:val="00416CBF"/>
    <w:rsid w:val="00471637"/>
    <w:rsid w:val="004B5F6F"/>
    <w:rsid w:val="004E0DF6"/>
    <w:rsid w:val="00534B6C"/>
    <w:rsid w:val="00553349"/>
    <w:rsid w:val="00587379"/>
    <w:rsid w:val="00610C40"/>
    <w:rsid w:val="006629D3"/>
    <w:rsid w:val="006A696D"/>
    <w:rsid w:val="006F4B9B"/>
    <w:rsid w:val="00713095"/>
    <w:rsid w:val="00787AFB"/>
    <w:rsid w:val="007A63B7"/>
    <w:rsid w:val="007E5C26"/>
    <w:rsid w:val="00800D3A"/>
    <w:rsid w:val="00874DFA"/>
    <w:rsid w:val="00885E07"/>
    <w:rsid w:val="008E3353"/>
    <w:rsid w:val="00914CE6"/>
    <w:rsid w:val="009764F2"/>
    <w:rsid w:val="009E6CD5"/>
    <w:rsid w:val="00A00E64"/>
    <w:rsid w:val="00A766F8"/>
    <w:rsid w:val="00AA2F30"/>
    <w:rsid w:val="00C17E39"/>
    <w:rsid w:val="00C55514"/>
    <w:rsid w:val="00C96FDF"/>
    <w:rsid w:val="00DA0E2B"/>
    <w:rsid w:val="00DA25CD"/>
    <w:rsid w:val="00DB3FAF"/>
    <w:rsid w:val="00DD249F"/>
    <w:rsid w:val="00DE425A"/>
    <w:rsid w:val="00E11945"/>
    <w:rsid w:val="00E25E2E"/>
    <w:rsid w:val="00E46FAA"/>
    <w:rsid w:val="00F07284"/>
    <w:rsid w:val="00F27123"/>
    <w:rsid w:val="00F74457"/>
    <w:rsid w:val="00F96F44"/>
    <w:rsid w:val="00FD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D15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194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87A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7AFB"/>
  </w:style>
  <w:style w:type="paragraph" w:styleId="Footer">
    <w:name w:val="footer"/>
    <w:basedOn w:val="Normal"/>
    <w:link w:val="FooterChar"/>
    <w:uiPriority w:val="99"/>
    <w:rsid w:val="00787A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7AFB"/>
  </w:style>
  <w:style w:type="paragraph" w:styleId="BalloonText">
    <w:name w:val="Balloon Text"/>
    <w:basedOn w:val="Normal"/>
    <w:link w:val="BalloonTextChar"/>
    <w:uiPriority w:val="99"/>
    <w:semiHidden/>
    <w:rsid w:val="0091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9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382</TotalTime>
  <Pages>7</Pages>
  <Words>1224</Words>
  <Characters>6982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</dc:creator>
  <cp:keywords/>
  <dc:description/>
  <cp:lastModifiedBy>zzzxz</cp:lastModifiedBy>
  <cp:revision>16</cp:revision>
  <cp:lastPrinted>2016-01-29T06:15:00Z</cp:lastPrinted>
  <dcterms:created xsi:type="dcterms:W3CDTF">2016-01-27T11:29:00Z</dcterms:created>
  <dcterms:modified xsi:type="dcterms:W3CDTF">2016-01-29T07:34:00Z</dcterms:modified>
</cp:coreProperties>
</file>