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EF1AEF" w:rsidRPr="00613B89" w:rsidTr="00200B04">
        <w:tc>
          <w:tcPr>
            <w:tcW w:w="10138" w:type="dxa"/>
            <w:gridSpan w:val="2"/>
          </w:tcPr>
          <w:p w:rsidR="00EF1AEF" w:rsidRPr="00613B89" w:rsidRDefault="00EF1AEF" w:rsidP="00200B04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AEF" w:rsidRPr="00613B89" w:rsidRDefault="00EF1AEF" w:rsidP="00200B04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F1AEF" w:rsidRPr="00613B89" w:rsidTr="00200B04">
        <w:tc>
          <w:tcPr>
            <w:tcW w:w="10138" w:type="dxa"/>
            <w:gridSpan w:val="2"/>
          </w:tcPr>
          <w:p w:rsidR="00EF1AEF" w:rsidRPr="00613B89" w:rsidRDefault="00EF1AEF" w:rsidP="00200B04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F1AEF" w:rsidRPr="00613B89" w:rsidTr="00200B04">
        <w:tc>
          <w:tcPr>
            <w:tcW w:w="10138" w:type="dxa"/>
            <w:gridSpan w:val="2"/>
          </w:tcPr>
          <w:p w:rsidR="00EF1AEF" w:rsidRPr="00613B89" w:rsidRDefault="00EF1AEF" w:rsidP="00200B04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F1AEF" w:rsidRPr="00613B89" w:rsidTr="00200B04">
        <w:tc>
          <w:tcPr>
            <w:tcW w:w="10138" w:type="dxa"/>
            <w:gridSpan w:val="2"/>
          </w:tcPr>
          <w:p w:rsidR="00EF1AEF" w:rsidRPr="00613B89" w:rsidRDefault="00EF1AEF" w:rsidP="00200B04">
            <w:pPr>
              <w:pStyle w:val="5"/>
              <w:rPr>
                <w:sz w:val="20"/>
                <w:lang w:val="uk-UA"/>
              </w:rPr>
            </w:pPr>
          </w:p>
        </w:tc>
      </w:tr>
      <w:tr w:rsidR="00EF1AEF" w:rsidRPr="00613B89" w:rsidTr="00200B04">
        <w:tc>
          <w:tcPr>
            <w:tcW w:w="10138" w:type="dxa"/>
            <w:gridSpan w:val="2"/>
          </w:tcPr>
          <w:p w:rsidR="00EF1AEF" w:rsidRPr="00613B89" w:rsidRDefault="00EF1AEF" w:rsidP="00200B04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F1AEF" w:rsidRPr="00613B89" w:rsidTr="00200B04">
        <w:tc>
          <w:tcPr>
            <w:tcW w:w="10138" w:type="dxa"/>
            <w:gridSpan w:val="2"/>
          </w:tcPr>
          <w:p w:rsidR="00EF1AEF" w:rsidRPr="00613B89" w:rsidRDefault="00EF1AEF" w:rsidP="00200B04">
            <w:pPr>
              <w:pStyle w:val="5"/>
              <w:rPr>
                <w:sz w:val="20"/>
                <w:lang w:val="uk-UA"/>
              </w:rPr>
            </w:pPr>
          </w:p>
        </w:tc>
      </w:tr>
      <w:tr w:rsidR="00EF1AEF" w:rsidRPr="00067716" w:rsidTr="00200B04">
        <w:tc>
          <w:tcPr>
            <w:tcW w:w="5069" w:type="dxa"/>
          </w:tcPr>
          <w:p w:rsidR="00EF1AEF" w:rsidRPr="00067716" w:rsidRDefault="00EF1AEF" w:rsidP="00200B0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EF1AEF" w:rsidRPr="00067716" w:rsidRDefault="00EF1AEF" w:rsidP="00200B04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F1AEF" w:rsidRPr="00067716" w:rsidRDefault="00EF1AEF" w:rsidP="00200B04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EF1AEF" w:rsidRPr="00067716" w:rsidRDefault="00EF1AEF" w:rsidP="00EF1AEF">
      <w:pPr>
        <w:pStyle w:val="3"/>
      </w:pPr>
      <w:r w:rsidRPr="00067716">
        <w:rPr>
          <w:bCs w:val="0"/>
        </w:rPr>
        <w:t xml:space="preserve">від   </w:t>
      </w:r>
      <w:r>
        <w:rPr>
          <w:bCs w:val="0"/>
        </w:rPr>
        <w:t>15</w:t>
      </w:r>
      <w:r w:rsidRPr="00067716">
        <w:rPr>
          <w:bCs w:val="0"/>
        </w:rPr>
        <w:t xml:space="preserve"> березня  201</w:t>
      </w:r>
      <w:r>
        <w:rPr>
          <w:bCs w:val="0"/>
        </w:rPr>
        <w:t>7</w:t>
      </w:r>
      <w:r w:rsidRPr="00067716">
        <w:rPr>
          <w:bCs w:val="0"/>
        </w:rPr>
        <w:t xml:space="preserve">  року</w:t>
      </w:r>
    </w:p>
    <w:p w:rsidR="00EF1AEF" w:rsidRPr="00EF1AEF" w:rsidRDefault="00EF1AEF" w:rsidP="00EF1AEF">
      <w:pPr>
        <w:pStyle w:val="3"/>
        <w:rPr>
          <w:szCs w:val="28"/>
        </w:rPr>
      </w:pPr>
    </w:p>
    <w:p w:rsidR="00EF1AEF" w:rsidRPr="00EF1AEF" w:rsidRDefault="00EF1AEF" w:rsidP="00EF1A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b/>
          <w:sz w:val="28"/>
          <w:szCs w:val="28"/>
          <w:lang w:val="uk-UA"/>
        </w:rPr>
        <w:t>Про  стан  доріг  в  районі</w:t>
      </w:r>
    </w:p>
    <w:p w:rsidR="00EF1AEF" w:rsidRPr="00EF1AEF" w:rsidRDefault="00EF1AEF" w:rsidP="00EF1AEF">
      <w:pPr>
        <w:pStyle w:val="3"/>
        <w:tabs>
          <w:tab w:val="left" w:pos="5334"/>
        </w:tabs>
        <w:rPr>
          <w:szCs w:val="28"/>
        </w:rPr>
      </w:pPr>
    </w:p>
    <w:p w:rsidR="00EF1AEF" w:rsidRPr="00EF1AEF" w:rsidRDefault="00EF1AEF" w:rsidP="00EF1A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інформації начальника філії «Новоград-Волинський райавтодор» ДП «Житомироблавтодор»  </w:t>
      </w:r>
      <w:r w:rsidR="00994424">
        <w:rPr>
          <w:rFonts w:ascii="Times New Roman" w:hAnsi="Times New Roman" w:cs="Times New Roman"/>
          <w:sz w:val="28"/>
          <w:szCs w:val="28"/>
          <w:lang w:val="uk-UA"/>
        </w:rPr>
        <w:t>Заїки С.Л.</w:t>
      </w:r>
      <w:r w:rsidRPr="00EF1AEF">
        <w:rPr>
          <w:rFonts w:ascii="Times New Roman" w:hAnsi="Times New Roman" w:cs="Times New Roman"/>
          <w:sz w:val="28"/>
          <w:szCs w:val="28"/>
          <w:lang w:val="uk-UA"/>
        </w:rPr>
        <w:t xml:space="preserve"> про стан  доріг в районі, районна рада відмічає, що мережа доріг загального користування поєднує 110 сільських населених пунктів. Загальна протяжність доріг на території району складає 1093,6 км, з них 92,4 – дороги державного значення, які обслуговує філія «Новоград-Волинська ДЕД» ДП «Житомироблавтодор», </w:t>
      </w:r>
      <w:smartTag w:uri="urn:schemas-microsoft-com:office:smarttags" w:element="metricconverter">
        <w:smartTagPr>
          <w:attr w:name="ProductID" w:val="414,9 км"/>
        </w:smartTagPr>
        <w:r w:rsidRPr="00EF1AEF">
          <w:rPr>
            <w:rFonts w:ascii="Times New Roman" w:hAnsi="Times New Roman" w:cs="Times New Roman"/>
            <w:sz w:val="28"/>
            <w:szCs w:val="28"/>
            <w:lang w:val="uk-UA"/>
          </w:rPr>
          <w:t>414,9 км</w:t>
        </w:r>
      </w:smartTag>
      <w:r w:rsidRPr="00EF1AEF">
        <w:rPr>
          <w:rFonts w:ascii="Times New Roman" w:hAnsi="Times New Roman" w:cs="Times New Roman"/>
          <w:sz w:val="28"/>
          <w:szCs w:val="28"/>
          <w:lang w:val="uk-UA"/>
        </w:rPr>
        <w:t xml:space="preserve"> – дороги загального користування, які обслуговує філія «Новоград-Волинський райавтодор» ДП «Житомироблавтодор», та  588,1 км комунальних доріг, які знаходяться на балансі сільських, селищної рад.</w:t>
      </w:r>
    </w:p>
    <w:p w:rsidR="00EF1AEF" w:rsidRPr="00EF1AEF" w:rsidRDefault="00EF1AEF" w:rsidP="00EF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Дорожніми організаціями проводиться відповідна  робота щодо утримання в належному  транспортно-експлуатаційному стані автодоріг та  смуги відведення автомобільних доріг.</w:t>
      </w:r>
    </w:p>
    <w:p w:rsidR="00C95BE7" w:rsidRPr="00C95BE7" w:rsidRDefault="00C95BE7" w:rsidP="00C9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Зокрема у  2016 році </w:t>
      </w:r>
      <w:r w:rsidRPr="00A0164A">
        <w:rPr>
          <w:rFonts w:ascii="Times New Roman" w:hAnsi="Times New Roman" w:cs="Times New Roman"/>
          <w:sz w:val="28"/>
          <w:szCs w:val="28"/>
          <w:lang w:val="uk-UA"/>
        </w:rPr>
        <w:t>райавтодором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становлено та замінено дорожні знак</w:t>
      </w:r>
      <w:r w:rsidR="00731E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в т.ч зимового утримання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232шт</w:t>
      </w:r>
      <w:r>
        <w:rPr>
          <w:rFonts w:ascii="Times New Roman" w:hAnsi="Times New Roman" w:cs="Times New Roman"/>
          <w:sz w:val="28"/>
          <w:szCs w:val="28"/>
          <w:lang w:val="uk-UA"/>
        </w:rPr>
        <w:t>), проведено ямко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вий ремон</w:t>
      </w:r>
      <w:r w:rsidR="00731E8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асфальтобетонних та чорнощебеневих покриттів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1861 м2(Використано 223 т. асфальту</w:t>
      </w:r>
      <w:r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анесено розмітки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0,3 км</w:t>
      </w:r>
      <w:r>
        <w:rPr>
          <w:rFonts w:ascii="Times New Roman" w:hAnsi="Times New Roman" w:cs="Times New Roman"/>
          <w:sz w:val="28"/>
          <w:szCs w:val="28"/>
          <w:lang w:val="uk-UA"/>
        </w:rPr>
        <w:t>), здійснено в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ирубк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полоси відводу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5,2 км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пофарбовано 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елемент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доріг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17км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51148">
        <w:rPr>
          <w:rFonts w:ascii="Times New Roman" w:hAnsi="Times New Roman" w:cs="Times New Roman"/>
          <w:sz w:val="28"/>
          <w:szCs w:val="28"/>
          <w:lang w:val="uk-UA"/>
        </w:rPr>
        <w:t>, приб</w:t>
      </w:r>
      <w:r>
        <w:rPr>
          <w:rFonts w:ascii="Times New Roman" w:hAnsi="Times New Roman" w:cs="Times New Roman"/>
          <w:sz w:val="28"/>
          <w:szCs w:val="28"/>
          <w:lang w:val="uk-UA"/>
        </w:rPr>
        <w:t>рано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полоси відводу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на суму 52 тис.грн</w:t>
      </w:r>
      <w:r>
        <w:rPr>
          <w:rFonts w:ascii="Times New Roman" w:hAnsi="Times New Roman" w:cs="Times New Roman"/>
          <w:sz w:val="28"/>
          <w:szCs w:val="28"/>
          <w:lang w:val="uk-UA"/>
        </w:rPr>
        <w:t>), скошено траву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на узбіччях доріг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105 км</w:t>
      </w:r>
      <w:r>
        <w:rPr>
          <w:rFonts w:ascii="Times New Roman" w:hAnsi="Times New Roman" w:cs="Times New Roman"/>
          <w:sz w:val="28"/>
          <w:szCs w:val="28"/>
          <w:lang w:val="uk-UA"/>
        </w:rPr>
        <w:t>), прогрейдеровано, ліквідовано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доріг з додаванням матеріалу та без ньогу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190 км</w:t>
      </w:r>
      <w:r>
        <w:rPr>
          <w:rFonts w:ascii="Times New Roman" w:hAnsi="Times New Roman" w:cs="Times New Roman"/>
          <w:sz w:val="28"/>
          <w:szCs w:val="28"/>
          <w:lang w:val="uk-UA"/>
        </w:rPr>
        <w:t>), з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 xml:space="preserve">имове утримання доріг (посипка, очистка)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95BE7">
        <w:rPr>
          <w:rFonts w:ascii="Times New Roman" w:hAnsi="Times New Roman" w:cs="Times New Roman"/>
          <w:sz w:val="28"/>
          <w:szCs w:val="28"/>
          <w:lang w:val="uk-UA"/>
        </w:rPr>
        <w:t>478 тис.грн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511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AEF" w:rsidRPr="00EF1AEF" w:rsidRDefault="00EF1AEF" w:rsidP="00EF1A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AEF" w:rsidRPr="00EF1AEF" w:rsidRDefault="00EF1AEF" w:rsidP="00EF1AEF">
      <w:pPr>
        <w:tabs>
          <w:tab w:val="left" w:pos="53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F1AEF" w:rsidRPr="00EF1AEF" w:rsidRDefault="00EF1AEF" w:rsidP="00EF1AEF">
      <w:pPr>
        <w:tabs>
          <w:tab w:val="left" w:pos="5334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AE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F1AEF" w:rsidRPr="00EF1AEF" w:rsidRDefault="00EF1AEF" w:rsidP="00EF1AEF">
      <w:pPr>
        <w:tabs>
          <w:tab w:val="left" w:pos="5334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EF" w:rsidRPr="00EF1AEF" w:rsidRDefault="00EF1AEF" w:rsidP="00EF1AEF">
      <w:pPr>
        <w:numPr>
          <w:ilvl w:val="0"/>
          <w:numId w:val="1"/>
        </w:numPr>
        <w:tabs>
          <w:tab w:val="clear" w:pos="8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Інформації начальників філії «Новоград-Волинський райавтодор» ДП «Житомироблавтодор»  </w:t>
      </w:r>
      <w:r w:rsidR="00B56B7C">
        <w:rPr>
          <w:rFonts w:ascii="Times New Roman" w:hAnsi="Times New Roman" w:cs="Times New Roman"/>
          <w:sz w:val="28"/>
          <w:szCs w:val="28"/>
          <w:lang w:val="uk-UA"/>
        </w:rPr>
        <w:t xml:space="preserve">Заїки С.Л. </w:t>
      </w:r>
      <w:r w:rsidRPr="00EF1AEF">
        <w:rPr>
          <w:rFonts w:ascii="Times New Roman" w:hAnsi="Times New Roman" w:cs="Times New Roman"/>
          <w:sz w:val="28"/>
          <w:szCs w:val="28"/>
          <w:lang w:val="uk-UA"/>
        </w:rPr>
        <w:t xml:space="preserve"> про стан  доріг в районі</w:t>
      </w:r>
      <w:r w:rsidRPr="00EF1AEF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EF1AEF" w:rsidRPr="00EF1AEF" w:rsidRDefault="00EF1AEF" w:rsidP="00EF1A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 xml:space="preserve"> 3.Запропонувати райдержадміністрації:</w:t>
      </w:r>
    </w:p>
    <w:p w:rsidR="00EF1AEF" w:rsidRPr="00EF1AEF" w:rsidRDefault="00EF1AEF" w:rsidP="00EF1AEF">
      <w:pPr>
        <w:numPr>
          <w:ilvl w:val="1"/>
          <w:numId w:val="1"/>
        </w:numPr>
        <w:tabs>
          <w:tab w:val="num" w:pos="0"/>
          <w:tab w:val="left" w:pos="53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Активізувати роботу районної комісії з безпеки дорожнього руху з метою посилення контролю за роботою дорожніх служб по утриманню в належному стані доріг та вулиць в районі, облаштуванню доріг дорожніми знаками, ліквідації нерівностей, ямковості покриття, ліквідації зелених насаджень на смугах відводу.</w:t>
      </w:r>
    </w:p>
    <w:p w:rsidR="00EF1AEF" w:rsidRPr="00EF1AEF" w:rsidRDefault="00EF1AEF" w:rsidP="00EF1AEF">
      <w:pPr>
        <w:tabs>
          <w:tab w:val="num" w:pos="0"/>
          <w:tab w:val="left" w:pos="53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1.2. Не менше двох разів в рік проводити спільну нараду за участю дорожніх служб, селищного, сільських голів, перевізників району та правоохоронних органів.</w:t>
      </w:r>
    </w:p>
    <w:p w:rsidR="00EF1AEF" w:rsidRPr="00EF1AEF" w:rsidRDefault="00EF1AEF" w:rsidP="00EF1AEF">
      <w:pPr>
        <w:tabs>
          <w:tab w:val="num" w:pos="0"/>
          <w:tab w:val="left" w:pos="53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1.3. Узагальнювати інформацію щодо ремонту і обслуговування доріг, використання коштів, виділених на ці цілі та інформувати  районну раду про стан цієї роботи.</w:t>
      </w:r>
    </w:p>
    <w:p w:rsidR="00EF1AEF" w:rsidRPr="00EF1AEF" w:rsidRDefault="00EF1AEF" w:rsidP="00EF1A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3.Рекомендувати селищній, сільським радам:</w:t>
      </w:r>
    </w:p>
    <w:p w:rsidR="00EF1AEF" w:rsidRPr="00EF1AEF" w:rsidRDefault="00EF1AEF" w:rsidP="00EF1A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3.1. Розробити та затвердити  місцеві програми ремонту автодоріг.</w:t>
      </w:r>
      <w:r w:rsidRPr="00EF1A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Включити до </w:t>
      </w:r>
      <w:r w:rsidRPr="00EF1A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 питання облаштування на вулицях населених пунктів тротуарів, пішохідних доріжок, відновлення  роботи  зовнішнього освітлення. В </w:t>
      </w:r>
      <w:r w:rsidRPr="00EF1AEF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критичною ситуацією і недостатністю державних коштів приймати участь у забезпеченні ремонту та реконструкції доріг державного значення, які знаходяться  на території таких громад на умовах співфінансування на договірних засадах.</w:t>
      </w:r>
    </w:p>
    <w:p w:rsidR="00EF1AEF" w:rsidRPr="00EF1AEF" w:rsidRDefault="00EF1AEF" w:rsidP="00EF1A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1AEF">
        <w:rPr>
          <w:rFonts w:ascii="Times New Roman" w:hAnsi="Times New Roman" w:cs="Times New Roman"/>
          <w:sz w:val="28"/>
          <w:szCs w:val="28"/>
          <w:lang w:val="uk-UA"/>
        </w:rPr>
        <w:t>3.2. Продовжити роботу з питань видалення дерев та кущів у населених пунктах, які ростуть на узбіччях,  чим</w:t>
      </w:r>
      <w:r w:rsidRPr="00EF1A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зменшують бокову видимість та можуть створити небезпеку дорожньому  руху при їх падінні.</w:t>
      </w:r>
    </w:p>
    <w:p w:rsidR="00EF1AEF" w:rsidRPr="00A014A3" w:rsidRDefault="00B56B7C" w:rsidP="00C95BE7">
      <w:pPr>
        <w:pStyle w:val="3"/>
        <w:tabs>
          <w:tab w:val="left" w:pos="5334"/>
        </w:tabs>
        <w:spacing w:before="120" w:after="120"/>
        <w:jc w:val="both"/>
        <w:rPr>
          <w:b w:val="0"/>
          <w:szCs w:val="28"/>
        </w:rPr>
      </w:pPr>
      <w:r>
        <w:rPr>
          <w:szCs w:val="28"/>
        </w:rPr>
        <w:t xml:space="preserve">4. </w:t>
      </w:r>
      <w:r w:rsidRPr="00B56B7C">
        <w:rPr>
          <w:b w:val="0"/>
          <w:szCs w:val="28"/>
        </w:rPr>
        <w:t xml:space="preserve">Рекомендувати начальнику філії «Новоград-Волинський райавтодор» ДП «Житомироблавтодор»  Заїці С.Л. укласти договори </w:t>
      </w:r>
      <w:r w:rsidR="00C95BE7">
        <w:rPr>
          <w:b w:val="0"/>
          <w:szCs w:val="28"/>
        </w:rPr>
        <w:t xml:space="preserve">про надання послуг </w:t>
      </w:r>
      <w:r w:rsidRPr="00B56B7C">
        <w:rPr>
          <w:b w:val="0"/>
          <w:szCs w:val="28"/>
        </w:rPr>
        <w:t xml:space="preserve">з приватними підприємствами району, </w:t>
      </w:r>
      <w:r w:rsidR="00A014A3">
        <w:rPr>
          <w:b w:val="0"/>
          <w:szCs w:val="28"/>
        </w:rPr>
        <w:t xml:space="preserve"> які мають відповідну техніку</w:t>
      </w:r>
      <w:r w:rsidRPr="00B56B7C">
        <w:rPr>
          <w:b w:val="0"/>
          <w:szCs w:val="28"/>
        </w:rPr>
        <w:t xml:space="preserve"> </w:t>
      </w:r>
      <w:r w:rsidR="00A014A3" w:rsidRPr="00A014A3">
        <w:rPr>
          <w:b w:val="0"/>
        </w:rPr>
        <w:t>для розчистки доріг від снігу та посипки ПСС</w:t>
      </w:r>
      <w:r w:rsidRPr="00A014A3">
        <w:rPr>
          <w:b w:val="0"/>
          <w:szCs w:val="28"/>
        </w:rPr>
        <w:t>.</w:t>
      </w:r>
    </w:p>
    <w:p w:rsidR="00EF1AEF" w:rsidRPr="00EF1AEF" w:rsidRDefault="00EF1AEF" w:rsidP="00EF1AEF">
      <w:pPr>
        <w:pStyle w:val="3"/>
        <w:rPr>
          <w:b w:val="0"/>
          <w:szCs w:val="28"/>
        </w:rPr>
      </w:pPr>
    </w:p>
    <w:p w:rsidR="00EF1AEF" w:rsidRPr="00EF1AEF" w:rsidRDefault="00EF1AEF" w:rsidP="00EF1AEF">
      <w:pPr>
        <w:pStyle w:val="3"/>
        <w:rPr>
          <w:b w:val="0"/>
          <w:szCs w:val="28"/>
        </w:rPr>
      </w:pPr>
    </w:p>
    <w:p w:rsidR="00EF1AEF" w:rsidRPr="00EF1AEF" w:rsidRDefault="00EF1AEF" w:rsidP="00EF1A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AEF">
        <w:rPr>
          <w:rFonts w:ascii="Times New Roman" w:hAnsi="Times New Roman" w:cs="Times New Roman"/>
          <w:b/>
          <w:sz w:val="28"/>
          <w:szCs w:val="28"/>
        </w:rPr>
        <w:t>Голова районної ради                                                              Д. В. Рудницький</w:t>
      </w:r>
    </w:p>
    <w:p w:rsidR="00502A24" w:rsidRPr="00EF1AEF" w:rsidRDefault="00502A24" w:rsidP="00EF1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2A24" w:rsidRPr="00EF1AEF" w:rsidSect="00DF43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25A4"/>
    <w:multiLevelType w:val="multilevel"/>
    <w:tmpl w:val="137032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94D50BF"/>
    <w:multiLevelType w:val="hybridMultilevel"/>
    <w:tmpl w:val="17BABC74"/>
    <w:lvl w:ilvl="0" w:tplc="576E7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AEF"/>
    <w:rsid w:val="000C10E1"/>
    <w:rsid w:val="002F34FA"/>
    <w:rsid w:val="00351148"/>
    <w:rsid w:val="00502A24"/>
    <w:rsid w:val="006D1104"/>
    <w:rsid w:val="00731E85"/>
    <w:rsid w:val="00994424"/>
    <w:rsid w:val="00A014A3"/>
    <w:rsid w:val="00B56B7C"/>
    <w:rsid w:val="00BA74E1"/>
    <w:rsid w:val="00C95BE7"/>
    <w:rsid w:val="00ED7F7B"/>
    <w:rsid w:val="00EF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A"/>
  </w:style>
  <w:style w:type="paragraph" w:styleId="5">
    <w:name w:val="heading 5"/>
    <w:basedOn w:val="a"/>
    <w:next w:val="a"/>
    <w:link w:val="50"/>
    <w:qFormat/>
    <w:rsid w:val="00EF1AE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F1AE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F1AEF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F1AEF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F1AEF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F1AEF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F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AEF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A014A3"/>
    <w:pPr>
      <w:spacing w:after="0" w:line="240" w:lineRule="auto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95BE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2017-02-14T14:37:00Z</dcterms:created>
  <dcterms:modified xsi:type="dcterms:W3CDTF">2017-03-01T07:59:00Z</dcterms:modified>
</cp:coreProperties>
</file>